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13 vom 7. Februar 2023</w:t>
      </w:r>
    </w:p>
    <w:p>
      <w:r>
        <w:t>SZ Gerichte, 2023-02-07, DE</w:t>
      </w:r>
    </w:p>
    <w:p>
      <w:r>
        <w:rPr>
          <w:b/>
        </w:rPr>
        <w:t xml:space="preserve">Quelle: </w:t>
      </w:r>
      <w:r>
        <w:t>https://mcp.opencaselaw.ch/entscheid/sz_gerichte_STK 2022 13</w:t>
      </w:r>
    </w:p>
    <w:p>
      <w:r>
        <w:t>FR: SZ_GERICHTE STK 2022 13 du 7 février 2023</w:t>
      </w:r>
    </w:p>
    <w:p>
      <w:r>
        <w:t>IT: SZ_GERICHTE STK 2022 13 del 7 febbraio 2023</w:t>
      </w:r>
    </w:p>
    <w:p>
      <w:pPr>
        <w:pStyle w:val="Heading2"/>
      </w:pPr>
      <w:r>
        <w:t>Regeste</w:t>
      </w:r>
    </w:p>
    <w:p>
      <w:r>
        <w:t>mehrfache Warenfälschung und versuchter Betrug | Strafgesetzbuch</w:t>
      </w:r>
    </w:p>
    <w:p>
      <w:pPr>
        <w:pStyle w:val="Heading2"/>
      </w:pPr>
      <w:r>
        <w:t>Erwägungen</w:t>
      </w:r>
    </w:p>
    <w:p>
      <w:r>
        <w:rPr>
          <w:b/>
        </w:rPr>
        <w:t>E. 3</w:t>
      </w:r>
    </w:p>
    <w:p>
      <w:r>
        <w:t>Die Verfahrenskosten in der Höhe von Fr. 17’154.40 (Gerichtsge- bühr Fr. 1’750.00 (70 % von Fr. 2’500.00); Untersuchungskosten Fr. 15’404.40) werden dem Beschuldigten auferlegt.</w:t>
      </w:r>
    </w:p>
    <w:p>
      <w:r>
        <w:rPr>
          <w:b/>
        </w:rPr>
        <w:t>E. 4</w:t>
      </w:r>
    </w:p>
    <w:p>
      <w:r>
        <w:t>Der Beschuldigte wird für seine Aufwendungen reduziert mit Fr. 795.00 (30 % von Fr. 2’650.00) (inkl. MWST und Auslagen) aus der Staatskasse entschädigt.</w:t>
      </w:r>
    </w:p>
    <w:p>
      <w:r>
        <w:rPr>
          <w:b/>
        </w:rPr>
        <w:t>E. 5</w:t>
      </w:r>
    </w:p>
    <w:p>
      <w:r>
        <w:t>[Rechtsmittelbelehrung]</w:t>
      </w:r>
    </w:p>
    <w:p>
      <w:r>
        <w:rPr>
          <w:b/>
        </w:rPr>
        <w:t>E. 6</w:t>
      </w:r>
    </w:p>
    <w:p>
      <w:r>
        <w:t>Die Warenfälschung wird nach Art. 155 Ziff. 1 StGB mit Freiheitsstrafe bis zu drei Jahren oder Geldstrafe bestraft. In Bezug auf die erstrichterlich ausgefällte Geldstrafe von 100 Tagessätzen à Fr. 100.00 ist zu beachten, dass der Erstrichter den Beschuldigten für sämtliche zehn in der Anklage er- wähnten Teppiche der Warenfälschung schuldig sprach (vgl. angefochtenes Urteil, E. 6), wohingegen die Berufungsinstanz den Schuldspruch wegen mehrfacher Warenfälschung nur in neun Fällen bestätigt. Dies ist im Folgen- den trotz der fehlenden Auseinandersetzung der Verteidigung und der Staats- anwaltschaft mit der Strafzumessung (KG-act. 17, Ziff. 8–10; KG-act. 17/2; KG-act. 17/4) von Amtes wegen zu berücksichtigen. a) Art. 155 Ziff. 1 StGB sieht Freiheits- oder Geldstrafe vor. Kommen so- wohl eine Geld- als auch eine Freiheitsstrafe in Betracht und scheinen beide</w:t>
      </w:r>
    </w:p>
    <w:p>
      <w:r>
        <w:t>Kantonsgericht Schwyz 34 Strafen den begangenen Fehler angemessen zu sanktionieren, ist nach dem Prinzip der Verhältnismässigkeit i.d.R. diejenige Strafe zu wählen, die weniger stark in die persönliche Freiheit des Betroffenen eingreift und ihn am wenigs- ten hart trifft (BGE 144 IV 313, E. 1.1.1 = Pra 108 [2019] Nr. 58; BGE 134 IV 97, E. 4.2.2). Massgebliche Kriterien für die Wahl der Sanktionsart bilden ihre Zweckmässigkeit, ihre Auswirkungen auf den Täter und sein soziales Umfeld sowie ihre präventive Effizienz (BGE 137 II 297, E. 2.3.4; BGE 134 IV 97, E. 4.2; Urteil des Bundesgerichts 6B_436/2018 vom 24. September 2018, E. 1.2). Angesichts dessen, dass die Staatsanwaltschaft in ihrer Anschlussbe- rufung weder den Schuldspruch betreffend die mehrfache Warenfälschung in Dispositiv-Ziffer 1 des angefochtenen Urteils noch die entsprechende Strafe gemäss Dispositiv-Ziffer 2.1 und 2.2 anficht und in Bezug darauf das Verbot der Schlechterstellung gilt (vgl. Ziegler/Keller, in: Niggli/Heer/Wiprächtiger [Hrsg.], Basler Kommentar, Schweizerische Strafprozessordnung, 2. A. 2014, Art. 391 StPO N 4a; Art. 391 Abs. 2 StPO; Verbot der reformatio in peius), ist ein Wechsel der Strafart von einer Geld- zu einer Freiheitsstrafe ausgeschlos- sen (Lieber, in: Donatsch/Lieber/Summers/Wohlers [Hrsg.], Kommentar zur Schweizerischen Strafprozessordnung, 3. A. 2020, Art. 391 StPO N 14). Somit erübrigen sich weitere Ausführungen hierzu und es ist für sämtliche Warenfäl- schungen eine Geldstrafe auszufällen. Die bis zum 31. Dezember 2017 geltende Fassung von Art. 34 Abs. 1 StGB sah für Geldstrafen (theoretisch) keine Mindestgrenze und eine Obergrenze von 360 Tagessätzen vor, sofern es das Gesetz nicht anders bestimmte. Am 1. Januar 2018 traten die Änderungen des Sanktionenrechts in Kraft. Neu sieht Art. 34 Abs. 1 StGB für die Geldstrafe ein Minimum von 3 und ein Maxi- mum von 180 Tagessätzen vor, sofern es das Gesetz nicht anders bestimmt. Das bisherige Recht sah für die Geldstrafe demzufolge einen grösseren Rah- men vor, weshalb es als milderes Recht in Bezug auf die Warenfälschungen betreffend die Teppiche Nr. 36374, Nr. 31578 und Nr. 31691 vorliegend an- wendbar ist (vgl. Art. 2 StGB; vgl. auch BGE 134 IV 82, E. 6.1 ff.). Weil die</w:t>
      </w:r>
    </w:p>
    <w:p>
      <w:r>
        <w:t>Kantonsgericht Schwyz 35 Beurteilung mehrerer Taten, die teilweise unter altem, teilweise unter neuem Recht begangen wurden, getrennt vorzunehmen und eine Gesamtstrafe aus- zufällen ist (Trechsel/Vest, in: Trechsel/Pieth [Hrsg.], Schweizerisches Straf- gesetzbuch, Praxiskommentar, 4. A. 2021, Art. 2 StGB N 5), ist für die unter neuem Recht vorgenommenen Warenfälschungen betreffend die Teppi- che Nr. 36790, Nr. 36894, Nr. 36807 Nr. 36774, Nr. 36773 und Nr. 36373 vom neuen Recht auszugehen. b) aa) Wird der Beschuldigte wegen unterschiedlicher Straftatbestände oder wegen mehrfacher Erfüllung desselben Straftatbestands wie vorliegend zu gleichartigen Strafen verurteilt, ist zunächst die Strafe für das schwerste Delikt festzusetzen und diese anschliessend wegen der weiteren Delikte an- gemessen zu erhöhen (Asperationsprinzip, vgl. Mathys, a.a.O., N 480). Das schwerste Delikt ist anhand der abstrakten Strafandrohung zu ermitteln. Sind mehrere Straftatbestände mit gleichem Strafrahmen zu beurteilen, ist von der- jenigen Straftat auszugehen, die im konkreten Fall die höchste Strafe nach sich zieht. Sind auch die konkreten Strafen gleich, kann auf die zeitlich erste Tat abgestellt werden (Mathys, a.a.O., N 485). Eine Gesamtstrafe in Anwen- dung des Asperationsprinzips setzt in Abgrenzung zum Absorptions- und Ku- mulationsprinzip voraus, dass das Gericht die hypothetischen Einzelstrafen sämtlicher Delikte (zumindest gedanklich) bildet. Die Ausfällung einer Ein- heitsstrafe im Sinne einer Gesamtbetrachtung aller zu beurteilenden Delikte ist nicht möglich (BGE 144 IV 217, Regeste und E. 3.5.3). Der Erstrichter hätte demzufolge nicht eine „Gesamtstrafe“ bilden dürfen, ohne in einem ersten Schritt die Einsatzstrafe für die schwerste Tat gedanklich festzusetzen (vgl. angefochtenes Urteil. E. 4.3). bb) Weil der auf dem Etikett des Teppichs Nr. 36807 angeführte Verkaufs- preis in Höhe von Fr. 46’850.00 mit einer Differenz von Fr. 27’950.00 am mas- sivsten vom erstellten Verkehrswert des Teppichs von Fr. 18’900.00 abwich</w:t>
      </w:r>
    </w:p>
    <w:p>
      <w:r>
        <w:t>Kantonsgericht Schwyz 36 (vgl. E. 4f.dd), ist diese Warenfälschung als schwerste Tat der insgesamt neun Fälle zu beurteilen und es ist hierfür eine Einsatzstrafe festzusetzen. c) Innerhalb des für die Warenfälschung betreffend den Teppich Nr. 36807 geltenden Strafrahmens von 3 bis zu 180 Tagessätzen Geldstrafe (E. 7a) er- folgt die Strafzumessung nach den Grundsätzen von Art. 47 StGB. Gemäss dieser Bestimmung misst das Gericht die Strafe nach dem Verschulden des Täters zu. Es berücksichtigt das Vorleben und die persönlichen Verhältnisse sowie die Wirkung der Strafe auf das Leben des Täters (Abs. 1). Das Ver- 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 letzung zu vermeiden (Abs. 2). Bei der Strafzumessung ist nach Tat- und Täterkomponenten zu unterscheiden (Mathys, Leitfaden Strafzumessung, 2. A. 2019, N 34). Zunächst ist zu klären, wie stark das Verhalten des Be- schuldigten das strafrechtlich geschützte Rechtsgut beeinträchtigte (objektive Tatschwere). Anschliessend ist zu bestimmen, wieweit die objektive Tatschwere dem Beschuldigten anzurechnen ist (subjektive Tatschwere; vgl. Mathys, a.a.O., N 73, 77 und 142). Die verschuldensangemessene Strafe kann sodann aufgrund von Faktoren, die beim Beschuldigten liegen und ge- eignet sind, ihn im Hinblick auf die Höhe der Strafe zu be- oder entlasten, her- abgesetzt oder erhöht werden (sog. Täterkomponenten; vgl. Mathys, a.a.O., N 311). d) Für die Warenfälschung des Teppichs Nr. 36807 ist in Bezug auf die objektive Tatschwere zu berücksichtigen, dass die nachträglich eingearbeitete Signatur mit der Bedeutung „Iran Habibian Nain“ zwar von einer unbekannten Person eingeknüpft worden war (vgl. E. 4d.cc), der Beschuldigte diesen Tep- pich aber in die Schweiz einführen liess und in den Geschäftsräumen der H.________ GmbH mit einem beigelegten Zertifikat lagerte (E. 5a ff.), dem</w:t>
      </w:r>
    </w:p>
    <w:p>
      <w:r>
        <w:t>Kantonsgericht Schwyz 37 sich ein Hinweis auf die Signatur („Provinz: Nain-sig. Habibian“) sowie ein deutlich über dem Verkehrswert des Teppichs von Fr. 18’900.00 liegender Kaufpreis von Fr. 46’850.00 entnehmen liess (E. 4g.dd). Auch wenn mit dem eigenhändigen Fälschen der Ware eine schwerere Tatvariante denkbar ist, wich der im Zertifikat vorgespiegelte Wert mit einer Differenz von Fr. 27’950.00 doch signifikant vom tatsächlichen Verkehrswert des nachge- ahmten Teppichs ab und das Verschulden des Beschuldigten, der die ge- fälschte Ware wie erwähnt einführen liess und lagerte, ist in objektiver Hinsicht somit als mittel bis schwer zu beurteilen. Betreffend die subjektive Tatschwere ist zu beachten, dass der Beschuldigte eventualvorsätzlich mit Täuschungs- absicht handelte (vgl. E. 5f) und durch das zusätzliche Erwähnen der Signatur im Zertifikat eine nicht unerhebliche kriminelle Energie zeigte. Das subjektive Tatverschulden ist somit ebenfalls als mittel bis schwer zu bewerten. Gesamt- haft liegt damit ein mittleres bis schweres Verschulden des Beschuldigten vor und es würde sich eine schuldangemessene Einsatzstrafe von 120 Tagessät- zen Geldstrafe rechtfertigen. Strafminderungsgründe liegen keine vor. Weil die Staatsanwaltschaft wie vorstehend in E. 7a dargelegt die Strafe gemäss Dis- positiv-Ziffer 2.1 und 2.2 nicht anficht, insofern das Verbot der reformatio in peius gilt und eine höhere Strafe mithin ausgeschlossen ist (vgl. Schmid/ Jositsch, Schweizerische Strafprozessordnung Praxiskommentar, 3. A. 2018, Art. 391 StPO N 3), ist die (Gesamt-)Strafe des Beschuldigten bei 100 Tages- sätzen Geldstrafe zu belassen. Folglich erübrigt sich die Festsetzung der Zu- satzstrafen für die Warenfälschungen der weiteren Teppiche. e) Die Höhe eines Tagessatzes bestimmt das Gericht gemäss Art. 34 Abs. 2 StGB nach den persönlichen und wirtschaftlichen Verhältnissen des Täters im Zeitpunkt des Urteils. Ausgangspunkt für die Bemessung bildet das Einkommen, das dem Täter durchschnittlich an einem Tag zufliesst, unabhän- gig davon, aus welcher Quelle die Einkünfte stammen. Vom Einkommen ist abzuziehen, was gesetzlich geschuldet ist oder ihm wirtschaftlich nicht zu- fliesst, wie beispielsweise die laufenden Steuern, die Beiträge an die obligato-</w:t>
      </w:r>
    </w:p>
    <w:p>
      <w:r>
        <w:t>Kantonsgericht Schwyz 38 rische Kranken- und Unfallversicherung oder die notwendigen Berufsauslagen (BGE 134 IV 60, E. 6.1; Urteil des Bundesgerichts 6B_793/2018 vom 9. Janu- ar 2019, E. 4.2). Das Vermögen kann bei der Bemessung ebenfalls berück- sichtigt werden, wenn es die Leistungsfähigkeit des Täters im Verhältnis zum Einkommen deutlich erhöht (Dolge, in: Niggli/Wiprächtiger [Hrsg.], Basler Kommentar, Strafrecht I, 4. A. 2019, Art. 34 StGB N 62). Der Erstrichter ging bei der Bemessung der Tagessatzhöhe von einem monat- lichen Nettoeinkommen des Beschuldigten von Fr. 4’000.00 aus (bestehend aus Fr. 2’000.00 bis Fr. 3’000.00 AHV-Rente und Fr. 2’000.00 bis Fr. 3’000.00 monatlichem Gehalt) und berücksichtigte einen Pauschalabzug für die Kran- kenkasse und die Steuern, was einen Tagessatz von Fr. 100.00 angemessen erscheinen lasse (angefochtenes Urteil, E. 4.5). Anlässlich der Berufungsver- handlung gab der Beschuldigte zwar an, nebst seiner Pension bloss noch ein jährliches Nettoeinkommen von Fr. 14’000.00 oder Fr. 15’000.00 zu erzielen (KG-act. 17, Frage 14). Weil er aber neu über ein Vermögen von rund drei Millionen abzüglich zwei Millionen Schulden verfügt (KG-act. 14/2; KG-act. 17, Fragen 19–22), ist insgesamt von keinen wesentlichen Änderungen seiner persönlichen und wirtschaftlichen Verhältnisse auszugehen und die Tages- satzhöhe bei Fr. 100.00 zu belassen. f) Das Gericht schiebt den Vollzug einer Geld- oder einer Freiheitsstrafe von höchstens zwei Jahren in der Regel auf, wenn eine unbedingte Strafe nicht notwendig erscheint, um den Täter von der Begehung weiterer Verbre- chen oder Vergehen abzuhalten (Art. 42 Abs. 1 StGB). Der Erstrichter erach- tete die Voraussetzungen für einen bedingten Vollzug der Geldstrafe trotz der fehlenden Einsicht des Beschuldigten aufgrund seiner geordneten Verhältnis- se und wegen des Fehlens von Vorstrafen als erfüllt und ordnete eine zweijäh- rige Probezeit an (angefochtenes Urteil, E. 5). Dem ist beizupflichten mit dem Hinweis, dass ein Wechsel von einer bedingten zu einer unbedingten Strafe aufgrund des vorliegend geltenden Verbots der reformatio in peius</w:t>
      </w:r>
    </w:p>
    <w:p>
      <w:r>
        <w:t>Kantonsgericht Schwyz 39 (vgl. vorstehend E. 7a) ohnehin ausgeschlossen wäre (vgl. Schmid/Jositsch, Schweizerische Strafprozessordnung Praxiskommentar, 3. A. 2018, Art. 391 StPO N 3, m.w.H.). g) Der Beschuldigte ist demnach in teilweiser Gutheissung seiner Berufung mit einer Geldstrafe von 100 Tagessätzen à Fr. 100.00 zu bestrafen und die Strafe ist bei einer Probezeit von zwei Jahren aufzuschieben.</w:t>
      </w:r>
    </w:p>
    <w:p>
      <w:r>
        <w:rPr>
          <w:b/>
        </w:rPr>
        <w:t>E. 7</w:t>
      </w:r>
    </w:p>
    <w:p>
      <w:r>
        <w:t>a) Fällt die Rechtmittelinstanz einen neuen Entscheid, so befindet sie gemäss Art. 428 Abs. 3 StPO auch über die von der Vorinstanz getroffene Kostenregelung. Gemäss Art. 426 Abs. 1 StPO trägt die beschuldigte Person die Verfahrenskosten, wenn sie verurteilt wird. Der Erstrichter erwog, dem Beschuldigten seien aufgrund des Freispruchs vom Vorwurf des versuchten Betrugs 70 % der Gerichtskosten aufzuerlegen, während 30 % auf die Staats- kasse zu nehmen seien. Die Untersuchungskosten von Fr. 15’404.40 seien dem Beschuldigten vollumfänglich aufzuerlegen, weil diese hinsichtlich jedes Anklagepunkts notwendig gewesen seien und für den Vorwurf des versuchten Betrugs nicht separat ausgeschieden werden könnten (angefochtenes Urteil, E. 7). Weder die Verteidigung noch die Staatsanwaltschaft setzten sich an- lässlich der Berufungsverhandlung mit diesen Erwägungen auseinander. Weil der Beschuldigte des Vorwurfs der Warenfälschung hinsichtlich des Teppichs Nr. 36890 freizusprechen ist (vgl. vorstehend E. 5a und E. 5f), der erstrichter- liche Freispruch in Bezug auf Teppich Nr. 36373 im Sinne der vorstehenden Ausführungen in E. 2c und E. 6 wegen der Verurteilung der Warenfälschung hingegen aufzuheben ist, rechtfertigt es sich, dem Beschuldigten 9/10 der Ge- richtsgebühr von total Fr. 2’500.00, d.h. Fr. 2’250.00, aufzuerlegen und die restlichen Kosten in der Höhe von Fr. 250.00 auf die Staatskasse zu nehmen. Die vollumfängliche Auferlegung der Untersuchungskosten von Fr. 15’404.40 zulasten des Beschuldigten ist auch mangels einer Auseinandersetzung der Verteidigung mit der diesbezüglichen zutreffenden Begründung im angefoch-</w:t>
      </w:r>
    </w:p>
    <w:p>
      <w:r>
        <w:t>Kantonsgericht Schwyz 40 tenen Urteil (E. 7) nicht zu beanstanden, sodass dem Beschuldigten total Fr. 17’654.40 der erstinstanzlichen Verfahrenskosten aufzuerlegen sind. b) Weil die Verlegung der Verfahrenskosten die Entschädigungsfrage präjudiziert (Domeisen, in: Niggli/Heer/Wiprächtiger [Hrsg.], Basler Kommen- tar, Schweizerische Strafprozessordnung, 2. A. 2014, Art. 426 StPO N 2a) und sich der Beschuldigte nicht mit der erstrichterlichen Erwägung auseinander- setzt, wonach ihm nur die ab dem Zeitpunkt der Überweisung des Strafbefehls an das Gericht entstandenen Aufwendungen in der Höhe von Fr. 2’650.00 als volle Entschädigung anzurechnen seien (angefochtenes Urteil, E. 8.3), ist der Beschuldigte mit Verweis auf die diesbezüglichen zutreffenden Ausführungen im angefochtenen Urteil in E. 8.1–8.3 (Art. 82 Abs. 4 StPO; § 45 Abs. 5 JG) für das erstinstanzliche Verfahren mit reduziert Fr. 265.00 (= 1/10 von Fr. 2’650.00; inkl. MWST und Auslagen) aus der Staatskasse zu entschädi- gen.</w:t>
      </w:r>
    </w:p>
    <w:p>
      <w:r>
        <w:rPr>
          <w:b/>
        </w:rPr>
        <w:t>E. 8</w:t>
      </w:r>
    </w:p>
    <w:p>
      <w:r>
        <w:t>Der Beschuldigte wird für das Berufungsverfahren reduziert mit Fr. 343.20 (= 1/10 von Fr. 3’431.80; inkl. Auslagen und MWST) aus der Staatskasse entschädigt.</w:t>
      </w:r>
    </w:p>
    <w:p>
      <w:r>
        <w:rPr>
          <w:b/>
        </w:rPr>
        <w:t>E. 9</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10</w:t>
      </w:r>
    </w:p>
    <w:p>
      <w:r>
        <w:t>Zufertigung an Rechtsanwalt B.________ (2/R), die Staatsanwaltschaft (1/A an die 3. Abteilung und 1/R an die Amtsleitung/zentraler Dienst), an die Vorinstanz (1/A) sowie nach definitiver Erledigung an die Vorinstanz (1/R, mit den Akten), das Amt für Justizvollzug (1/R, inkl. Dispositiv des angefochtenen Entscheids zum Inkasso und Vollzug), die Kantonsge- richtskasse (1/ü, im Dispositiv) und elektronische Mitteilung an die KOST (Strafregister). Namens der Strafkammer Der Kantonsgerichtspräsident Die Gerichtsschreiberin Versand 30. März 2023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